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D4" w:rsidRDefault="00D415D4" w:rsidP="008B3669">
      <w:pPr>
        <w:jc w:val="both"/>
        <w:rPr>
          <w:sz w:val="28"/>
          <w:szCs w:val="28"/>
          <w:rtl/>
        </w:rPr>
      </w:pPr>
    </w:p>
    <w:p w:rsidR="00994B17" w:rsidRDefault="0085103E" w:rsidP="00D415D4">
      <w:pPr>
        <w:jc w:val="both"/>
        <w:rPr>
          <w:sz w:val="28"/>
          <w:szCs w:val="28"/>
          <w:rtl/>
        </w:rPr>
      </w:pPr>
      <w:r>
        <w:rPr>
          <w:rFonts w:hint="cs"/>
          <w:sz w:val="28"/>
          <w:szCs w:val="28"/>
          <w:rtl/>
        </w:rPr>
        <w:t>مجموعۀ اندیشه و سیاست در ایران باستان، حاصل همت ومساعی پرشمار محققان ایران دوست برای ستردن غبار ابهام و دوردستی از چهرۀ تاریخی اندیشه و سیاست شهریاری در ایران باستان است. هدف این اهتمام بلند تاباندن نوری بازنما بر سیمای مهجور ساحت تفکر و پیشینیۀ زرین فرهنگ اندیشه و کیش کردار ایرانیان باستان است که در مسیر فروغ جهانگیر میراث ماندگار خود زمینه ای حاصلخیز برای استعلای درخشان فرهنگ و ادب و فلسفه و عرفان</w:t>
      </w:r>
      <w:r w:rsidR="00D848ED">
        <w:rPr>
          <w:rFonts w:hint="cs"/>
          <w:sz w:val="28"/>
          <w:szCs w:val="28"/>
          <w:rtl/>
        </w:rPr>
        <w:t xml:space="preserve"> اسلامی و ایرانی در سده های پس از ظهور اسلام به دست داد. مطالب این مجموعۀ چهار جلدی، ضمن بیان و بررسی تحلیلی انتقادی توأمان سویه های ایجابی و سلبی اندیشه و ساخت و کارکرد سیاست شهریاری ایران باستان، در کنار توجه و تأمل در مؤلفه ها و مباحث نظری، با بهره گیری از مطالعات و واکاوی های معتبر اسطوره شناختی و تاریخی و دریافته های فرهنگی و اجتماعی و گاه ادبی، امکان بازشناسی و بررسی اندیشه و سیاست شهریاری در ایران باستان را در زمینه ای فراختر فراهم آورده است و عزم آن نموده است تا نظام اندام وار و حامی این زیستمان اندیشگون و دلالت ها و </w:t>
      </w:r>
      <w:r w:rsidR="000A673B">
        <w:rPr>
          <w:rFonts w:hint="cs"/>
          <w:sz w:val="28"/>
          <w:szCs w:val="28"/>
          <w:rtl/>
        </w:rPr>
        <w:t xml:space="preserve">عوامل ایجاب و ایجاد و دوام و زوال دولت های قدرتمند ایران باستان را مطالعه و معرفی نماید. </w:t>
      </w:r>
      <w:r w:rsidR="005962E7">
        <w:rPr>
          <w:rFonts w:hint="cs"/>
          <w:sz w:val="28"/>
          <w:szCs w:val="28"/>
          <w:rtl/>
        </w:rPr>
        <w:t>از این روست که این مجموعه را می توان بر نهادی منسجم و مسئله مند دانست که پژوهش های استادان و محققانی که روشنای برخاسته از پژوهش چندوجهی را برتاریکی ابهام های ناشی از کار تک وجهی ترجیح داده اند، می نمایاند. چه آنکه تصویر این کوشش ارجمند در تعریف سرفصل های مباحث و درتحریر و تد</w:t>
      </w:r>
      <w:r w:rsidR="00B062AA">
        <w:rPr>
          <w:rFonts w:hint="cs"/>
          <w:sz w:val="28"/>
          <w:szCs w:val="28"/>
          <w:rtl/>
        </w:rPr>
        <w:t>وین محتوای هر نوشتار آشکار است</w:t>
      </w:r>
      <w:r w:rsidR="00D415D4">
        <w:rPr>
          <w:rFonts w:hint="cs"/>
          <w:sz w:val="28"/>
          <w:szCs w:val="28"/>
          <w:rtl/>
        </w:rPr>
        <w:t>:</w:t>
      </w:r>
    </w:p>
    <w:p w:rsidR="00994B17" w:rsidRPr="00DE2757" w:rsidRDefault="00994B17" w:rsidP="00DE2757">
      <w:pPr>
        <w:pStyle w:val="ListParagraph"/>
        <w:numPr>
          <w:ilvl w:val="0"/>
          <w:numId w:val="1"/>
        </w:numPr>
        <w:jc w:val="both"/>
        <w:rPr>
          <w:rFonts w:hint="cs"/>
          <w:sz w:val="28"/>
          <w:szCs w:val="28"/>
          <w:rtl/>
        </w:rPr>
      </w:pPr>
      <w:r w:rsidRPr="00DE2757">
        <w:rPr>
          <w:rFonts w:hint="cs"/>
          <w:sz w:val="28"/>
          <w:szCs w:val="28"/>
          <w:rtl/>
        </w:rPr>
        <w:t xml:space="preserve">سرفصل های جلد اول: </w:t>
      </w:r>
    </w:p>
    <w:p w:rsidR="00994B17" w:rsidRDefault="00994B17" w:rsidP="008B3669">
      <w:pPr>
        <w:jc w:val="both"/>
        <w:rPr>
          <w:sz w:val="28"/>
          <w:szCs w:val="28"/>
          <w:rtl/>
        </w:rPr>
      </w:pPr>
      <w:r>
        <w:rPr>
          <w:rFonts w:hint="cs"/>
          <w:sz w:val="28"/>
          <w:szCs w:val="28"/>
          <w:rtl/>
        </w:rPr>
        <w:t>بهرۀ اول: رهیافت های مسئله پژوهی در بازشناسی شهریاری ایران</w:t>
      </w:r>
    </w:p>
    <w:p w:rsidR="00994B17" w:rsidRDefault="00DE2757" w:rsidP="008B3669">
      <w:pPr>
        <w:jc w:val="both"/>
        <w:rPr>
          <w:sz w:val="28"/>
          <w:szCs w:val="28"/>
          <w:rtl/>
        </w:rPr>
      </w:pPr>
      <w:r>
        <w:rPr>
          <w:rFonts w:hint="cs"/>
          <w:sz w:val="28"/>
          <w:szCs w:val="28"/>
          <w:rtl/>
        </w:rPr>
        <w:t xml:space="preserve">بهرۀ دوم: انگاره های اساطیری </w:t>
      </w:r>
      <w:r>
        <w:rPr>
          <w:sz w:val="28"/>
          <w:szCs w:val="28"/>
          <w:rtl/>
        </w:rPr>
        <w:t>–</w:t>
      </w:r>
      <w:r>
        <w:rPr>
          <w:rFonts w:hint="cs"/>
          <w:sz w:val="28"/>
          <w:szCs w:val="28"/>
          <w:rtl/>
        </w:rPr>
        <w:t xml:space="preserve"> مذهبی شهریاری ایران</w:t>
      </w:r>
    </w:p>
    <w:p w:rsidR="00DE2757" w:rsidRDefault="00DE2757" w:rsidP="008B3669">
      <w:pPr>
        <w:jc w:val="both"/>
        <w:rPr>
          <w:sz w:val="28"/>
          <w:szCs w:val="28"/>
          <w:rtl/>
        </w:rPr>
      </w:pPr>
      <w:r>
        <w:rPr>
          <w:rFonts w:hint="cs"/>
          <w:sz w:val="28"/>
          <w:szCs w:val="28"/>
          <w:rtl/>
        </w:rPr>
        <w:t>بهرۀ سوم: بنیان های پدیداری شهریاری ایران</w:t>
      </w:r>
    </w:p>
    <w:p w:rsidR="00DE2757" w:rsidRDefault="00DE2757" w:rsidP="00DE2757">
      <w:pPr>
        <w:pStyle w:val="ListParagraph"/>
        <w:numPr>
          <w:ilvl w:val="0"/>
          <w:numId w:val="1"/>
        </w:numPr>
        <w:jc w:val="both"/>
        <w:rPr>
          <w:sz w:val="28"/>
          <w:szCs w:val="28"/>
        </w:rPr>
      </w:pPr>
      <w:r w:rsidRPr="00DE2757">
        <w:rPr>
          <w:rFonts w:hint="cs"/>
          <w:sz w:val="28"/>
          <w:szCs w:val="28"/>
          <w:rtl/>
        </w:rPr>
        <w:t xml:space="preserve">سرفصل های جلد دوم: </w:t>
      </w:r>
    </w:p>
    <w:p w:rsidR="00DE2757" w:rsidRDefault="00DE2757" w:rsidP="00DE2757">
      <w:pPr>
        <w:jc w:val="both"/>
        <w:rPr>
          <w:rFonts w:hint="cs"/>
          <w:sz w:val="28"/>
          <w:szCs w:val="28"/>
          <w:rtl/>
        </w:rPr>
      </w:pPr>
      <w:r>
        <w:rPr>
          <w:rFonts w:hint="cs"/>
          <w:sz w:val="28"/>
          <w:szCs w:val="28"/>
          <w:rtl/>
        </w:rPr>
        <w:t xml:space="preserve">بهرۀ اول: عهد اساطیری </w:t>
      </w:r>
      <w:r>
        <w:rPr>
          <w:sz w:val="28"/>
          <w:szCs w:val="28"/>
          <w:rtl/>
        </w:rPr>
        <w:t>–</w:t>
      </w:r>
      <w:r>
        <w:rPr>
          <w:rFonts w:hint="cs"/>
          <w:sz w:val="28"/>
          <w:szCs w:val="28"/>
          <w:rtl/>
        </w:rPr>
        <w:t xml:space="preserve"> حماسی شهریاری ایران </w:t>
      </w:r>
    </w:p>
    <w:p w:rsidR="00DE2757" w:rsidRPr="00DE2757" w:rsidRDefault="00DE2757" w:rsidP="00DE2757">
      <w:pPr>
        <w:jc w:val="both"/>
        <w:rPr>
          <w:rFonts w:hint="cs"/>
          <w:sz w:val="28"/>
          <w:szCs w:val="28"/>
          <w:rtl/>
        </w:rPr>
      </w:pPr>
      <w:r>
        <w:rPr>
          <w:rFonts w:hint="cs"/>
          <w:sz w:val="28"/>
          <w:szCs w:val="28"/>
          <w:rtl/>
        </w:rPr>
        <w:t>بهرۀ دوم: پیدایش و پدیداری تاریخی شهریاری ایران</w:t>
      </w:r>
    </w:p>
    <w:p w:rsidR="00DE2757" w:rsidRDefault="00DE2757" w:rsidP="00DE2757">
      <w:pPr>
        <w:pStyle w:val="ListParagraph"/>
        <w:numPr>
          <w:ilvl w:val="0"/>
          <w:numId w:val="1"/>
        </w:numPr>
        <w:jc w:val="both"/>
        <w:rPr>
          <w:sz w:val="28"/>
          <w:szCs w:val="28"/>
        </w:rPr>
      </w:pPr>
      <w:r w:rsidRPr="00DE2757">
        <w:rPr>
          <w:rFonts w:hint="cs"/>
          <w:sz w:val="28"/>
          <w:szCs w:val="28"/>
          <w:rtl/>
        </w:rPr>
        <w:t>سرفصل های جلد سوم:</w:t>
      </w:r>
    </w:p>
    <w:p w:rsidR="00DE2757" w:rsidRDefault="00D27193" w:rsidP="00DE2757">
      <w:pPr>
        <w:jc w:val="both"/>
        <w:rPr>
          <w:rFonts w:hint="cs"/>
          <w:sz w:val="28"/>
          <w:szCs w:val="28"/>
          <w:rtl/>
        </w:rPr>
      </w:pPr>
      <w:r>
        <w:rPr>
          <w:rFonts w:hint="cs"/>
          <w:sz w:val="28"/>
          <w:szCs w:val="28"/>
          <w:rtl/>
        </w:rPr>
        <w:t xml:space="preserve">بهرۀ اول: بنیان های برپایی و بالندگی دولت شاهی ایران در سیاست جهان شهری هخامنشیان </w:t>
      </w:r>
    </w:p>
    <w:p w:rsidR="00D27193" w:rsidRPr="00DE2757" w:rsidRDefault="00D27193" w:rsidP="00DE2757">
      <w:pPr>
        <w:jc w:val="both"/>
        <w:rPr>
          <w:sz w:val="28"/>
          <w:szCs w:val="28"/>
          <w:rtl/>
        </w:rPr>
      </w:pPr>
      <w:r>
        <w:rPr>
          <w:rFonts w:hint="cs"/>
          <w:sz w:val="28"/>
          <w:szCs w:val="28"/>
          <w:rtl/>
        </w:rPr>
        <w:t xml:space="preserve">بهرۀ دوم: </w:t>
      </w:r>
      <w:r w:rsidR="00540ACF">
        <w:rPr>
          <w:rFonts w:hint="cs"/>
          <w:sz w:val="28"/>
          <w:szCs w:val="28"/>
          <w:rtl/>
        </w:rPr>
        <w:t>اندیشه و سیاست شهریاری ایران باستان در مواجهه با رویکرد یونانی گری</w:t>
      </w:r>
    </w:p>
    <w:p w:rsidR="00994B17" w:rsidRPr="00956D5B" w:rsidRDefault="00DE2757" w:rsidP="00956D5B">
      <w:pPr>
        <w:pStyle w:val="ListParagraph"/>
        <w:numPr>
          <w:ilvl w:val="0"/>
          <w:numId w:val="1"/>
        </w:numPr>
        <w:jc w:val="both"/>
        <w:rPr>
          <w:rFonts w:hint="cs"/>
          <w:sz w:val="28"/>
          <w:szCs w:val="28"/>
          <w:rtl/>
        </w:rPr>
      </w:pPr>
      <w:r w:rsidRPr="00956D5B">
        <w:rPr>
          <w:rFonts w:hint="cs"/>
          <w:sz w:val="28"/>
          <w:szCs w:val="28"/>
          <w:rtl/>
        </w:rPr>
        <w:t>س</w:t>
      </w:r>
      <w:r w:rsidR="00956D5B" w:rsidRPr="00956D5B">
        <w:rPr>
          <w:rFonts w:hint="cs"/>
          <w:sz w:val="28"/>
          <w:szCs w:val="28"/>
          <w:rtl/>
        </w:rPr>
        <w:t>ر</w:t>
      </w:r>
      <w:r w:rsidRPr="00956D5B">
        <w:rPr>
          <w:rFonts w:hint="cs"/>
          <w:sz w:val="28"/>
          <w:szCs w:val="28"/>
          <w:rtl/>
        </w:rPr>
        <w:t>فصل های جلد چهارم:</w:t>
      </w:r>
    </w:p>
    <w:p w:rsidR="004D20D3" w:rsidRDefault="004D20D3" w:rsidP="008B3669">
      <w:pPr>
        <w:jc w:val="both"/>
        <w:rPr>
          <w:rFonts w:hint="cs"/>
          <w:sz w:val="28"/>
          <w:szCs w:val="28"/>
          <w:rtl/>
        </w:rPr>
      </w:pPr>
      <w:r>
        <w:rPr>
          <w:rFonts w:hint="cs"/>
          <w:sz w:val="28"/>
          <w:szCs w:val="28"/>
          <w:rtl/>
        </w:rPr>
        <w:t>بهرۀ اول: پایابی دولت شهریاری ایرانی در عهد اشکانیان</w:t>
      </w:r>
    </w:p>
    <w:p w:rsidR="004D20D3" w:rsidRDefault="00B2248D" w:rsidP="008B3669">
      <w:pPr>
        <w:jc w:val="both"/>
        <w:rPr>
          <w:rFonts w:hint="cs"/>
          <w:sz w:val="28"/>
          <w:szCs w:val="28"/>
          <w:rtl/>
        </w:rPr>
      </w:pPr>
      <w:r>
        <w:rPr>
          <w:rFonts w:hint="cs"/>
          <w:sz w:val="28"/>
          <w:szCs w:val="28"/>
          <w:rtl/>
        </w:rPr>
        <w:t>بهرۀ دوم: بنای دولت ساسانیان و بنیان های سیاست ایران شهری</w:t>
      </w:r>
    </w:p>
    <w:p w:rsidR="00B2248D" w:rsidRPr="0085103E" w:rsidRDefault="00B2248D" w:rsidP="008B3669">
      <w:pPr>
        <w:jc w:val="both"/>
        <w:rPr>
          <w:sz w:val="28"/>
          <w:szCs w:val="28"/>
        </w:rPr>
      </w:pPr>
      <w:bookmarkStart w:id="0" w:name="_GoBack"/>
      <w:bookmarkEnd w:id="0"/>
    </w:p>
    <w:sectPr w:rsidR="00B2248D" w:rsidRPr="0085103E" w:rsidSect="0085103E">
      <w:pgSz w:w="11906" w:h="16838"/>
      <w:pgMar w:top="1134"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353BF"/>
    <w:multiLevelType w:val="hybridMultilevel"/>
    <w:tmpl w:val="EB141C2C"/>
    <w:lvl w:ilvl="0" w:tplc="52F857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3E"/>
    <w:rsid w:val="000A673B"/>
    <w:rsid w:val="004D20D3"/>
    <w:rsid w:val="00540ACF"/>
    <w:rsid w:val="005962E7"/>
    <w:rsid w:val="0085103E"/>
    <w:rsid w:val="008B3669"/>
    <w:rsid w:val="00956D5B"/>
    <w:rsid w:val="00994B17"/>
    <w:rsid w:val="00B062AA"/>
    <w:rsid w:val="00B2248D"/>
    <w:rsid w:val="00D07138"/>
    <w:rsid w:val="00D27193"/>
    <w:rsid w:val="00D415D4"/>
    <w:rsid w:val="00D848ED"/>
    <w:rsid w:val="00DE2757"/>
    <w:rsid w:val="00F63B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1CF61-0743-46AD-B733-951B9FC7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15</cp:revision>
  <dcterms:created xsi:type="dcterms:W3CDTF">2024-04-25T21:34:00Z</dcterms:created>
  <dcterms:modified xsi:type="dcterms:W3CDTF">2024-04-25T22:17:00Z</dcterms:modified>
</cp:coreProperties>
</file>